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79A7A876"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w:t>
      </w:r>
      <w:r w:rsidR="00091EF7">
        <w:rPr>
          <w:rFonts w:ascii="Arial" w:hAnsi="Arial"/>
          <w:b/>
          <w:noProof/>
          <w:sz w:val="24"/>
          <w:lang w:val="en-US"/>
        </w:rPr>
        <w:t>2</w:t>
      </w:r>
      <w:r w:rsidR="00D8261A">
        <w:rPr>
          <w:rFonts w:ascii="Arial" w:hAnsi="Arial"/>
          <w:b/>
          <w:noProof/>
          <w:sz w:val="24"/>
          <w:lang w:val="en-US"/>
        </w:rPr>
        <w:t>-e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9425CA">
        <w:rPr>
          <w:rFonts w:ascii="Arial" w:hAnsi="Arial"/>
          <w:b/>
          <w:noProof/>
          <w:sz w:val="24"/>
          <w:lang w:val="en-US"/>
        </w:rPr>
        <w:t>R4-</w:t>
      </w:r>
      <w:r w:rsidR="00107381" w:rsidRPr="009425CA">
        <w:rPr>
          <w:rFonts w:ascii="Arial" w:hAnsi="Arial"/>
          <w:b/>
          <w:noProof/>
          <w:sz w:val="24"/>
          <w:lang w:val="en-US"/>
        </w:rPr>
        <w:t>2</w:t>
      </w:r>
      <w:r w:rsidR="001E6F98" w:rsidRPr="000C0023">
        <w:rPr>
          <w:rFonts w:ascii="Arial" w:hAnsi="Arial"/>
          <w:b/>
          <w:noProof/>
          <w:sz w:val="24"/>
          <w:lang w:val="en-US"/>
        </w:rPr>
        <w:t>2</w:t>
      </w:r>
      <w:r w:rsidR="00955D91" w:rsidRPr="000C0023">
        <w:rPr>
          <w:rFonts w:ascii="Arial" w:hAnsi="Arial"/>
          <w:b/>
          <w:noProof/>
          <w:sz w:val="24"/>
          <w:lang w:val="en-US"/>
        </w:rPr>
        <w:t>0</w:t>
      </w:r>
      <w:r w:rsidR="000C0023" w:rsidRPr="000C0023">
        <w:rPr>
          <w:rFonts w:ascii="Arial" w:hAnsi="Arial"/>
          <w:b/>
          <w:noProof/>
          <w:sz w:val="24"/>
          <w:lang w:val="en-US"/>
        </w:rPr>
        <w:t>6</w:t>
      </w:r>
      <w:r w:rsidR="000C0023">
        <w:rPr>
          <w:rFonts w:ascii="Arial" w:hAnsi="Arial"/>
          <w:b/>
          <w:noProof/>
          <w:sz w:val="24"/>
          <w:lang w:val="en-US"/>
        </w:rPr>
        <w:t>047</w:t>
      </w:r>
    </w:p>
    <w:p w14:paraId="35ADE6E2" w14:textId="2C4101FF"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091EF7">
        <w:rPr>
          <w:rFonts w:ascii="Arial" w:hAnsi="Arial"/>
          <w:b/>
          <w:noProof/>
          <w:sz w:val="24"/>
          <w:lang w:val="en-US"/>
        </w:rPr>
        <w:t>February</w:t>
      </w:r>
      <w:r>
        <w:rPr>
          <w:rFonts w:ascii="Arial" w:hAnsi="Arial"/>
          <w:b/>
          <w:noProof/>
          <w:sz w:val="24"/>
          <w:lang w:val="en-US"/>
        </w:rPr>
        <w:t xml:space="preserve"> </w:t>
      </w:r>
      <w:r w:rsidR="00091EF7">
        <w:rPr>
          <w:rFonts w:ascii="Arial" w:hAnsi="Arial"/>
          <w:b/>
          <w:noProof/>
          <w:sz w:val="24"/>
          <w:lang w:val="en-US"/>
        </w:rPr>
        <w:t>2</w:t>
      </w:r>
      <w:r w:rsidR="000A2F61">
        <w:rPr>
          <w:rFonts w:ascii="Arial" w:hAnsi="Arial"/>
          <w:b/>
          <w:noProof/>
          <w:sz w:val="24"/>
          <w:lang w:val="en-US"/>
        </w:rPr>
        <w:t>1</w:t>
      </w:r>
      <w:r w:rsidRPr="00516441">
        <w:rPr>
          <w:rFonts w:ascii="Arial" w:hAnsi="Arial"/>
          <w:b/>
          <w:noProof/>
          <w:sz w:val="24"/>
          <w:lang w:val="en-US"/>
        </w:rPr>
        <w:t xml:space="preserve"> – </w:t>
      </w:r>
      <w:r w:rsidR="00091EF7">
        <w:rPr>
          <w:rFonts w:ascii="Arial" w:hAnsi="Arial"/>
          <w:b/>
          <w:noProof/>
          <w:sz w:val="24"/>
          <w:lang w:val="en-US"/>
        </w:rPr>
        <w:t>March 3</w:t>
      </w:r>
      <w:r w:rsidR="001E6F98">
        <w:rPr>
          <w:rFonts w:ascii="Arial" w:hAnsi="Arial"/>
          <w:b/>
          <w:noProof/>
          <w:sz w:val="24"/>
          <w:lang w:val="en-US"/>
        </w:rPr>
        <w:t>,</w:t>
      </w:r>
      <w:r w:rsidRPr="00516441">
        <w:rPr>
          <w:rFonts w:ascii="Arial" w:hAnsi="Arial"/>
          <w:b/>
          <w:noProof/>
          <w:sz w:val="24"/>
          <w:lang w:val="en-US"/>
        </w:rPr>
        <w:t xml:space="preserve"> 202</w:t>
      </w:r>
      <w:r w:rsidR="001E6F98">
        <w:rPr>
          <w:rFonts w:ascii="Arial" w:hAnsi="Arial"/>
          <w:b/>
          <w:noProof/>
          <w:sz w:val="24"/>
          <w:lang w:val="en-US"/>
        </w:rPr>
        <w:t>2</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427648E9"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5E0408">
        <w:rPr>
          <w:rFonts w:ascii="Arial" w:hAnsi="Arial" w:cs="Arial"/>
          <w:b/>
          <w:lang w:val="en-US"/>
        </w:rPr>
        <w:t>Sensing beam for LBT in FR2-2</w:t>
      </w:r>
    </w:p>
    <w:p w14:paraId="0AD5CA5A" w14:textId="07D38860"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AC0C51" w:rsidRPr="00AC0C51">
        <w:rPr>
          <w:rFonts w:ascii="Arial" w:hAnsi="Arial" w:cs="Arial"/>
          <w:lang w:val="en-US"/>
        </w:rPr>
        <w:t>10</w:t>
      </w:r>
      <w:r w:rsidR="00091EF7" w:rsidRPr="00AC0C51">
        <w:rPr>
          <w:rFonts w:ascii="Arial" w:hAnsi="Arial" w:cs="Arial"/>
          <w:lang w:val="en-US"/>
        </w:rPr>
        <w:t>.</w:t>
      </w:r>
      <w:r w:rsidR="00AC0C51" w:rsidRPr="00AC0C51">
        <w:rPr>
          <w:rFonts w:ascii="Arial" w:hAnsi="Arial" w:cs="Arial"/>
          <w:lang w:val="en-US"/>
        </w:rPr>
        <w:t>16</w:t>
      </w:r>
      <w:r w:rsidR="00091EF7" w:rsidRPr="00AC0C51">
        <w:rPr>
          <w:rFonts w:ascii="Arial" w:hAnsi="Arial" w:cs="Arial"/>
          <w:lang w:val="en-US"/>
        </w:rPr>
        <w:t>.</w:t>
      </w:r>
      <w:r w:rsidR="00AC0C51" w:rsidRPr="00AC0C51">
        <w:rPr>
          <w:rFonts w:ascii="Arial" w:hAnsi="Arial" w:cs="Arial"/>
          <w:lang w:val="en-US"/>
        </w:rPr>
        <w:t>9</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C86C2A">
      <w:pPr>
        <w:pStyle w:val="Heading1"/>
        <w:numPr>
          <w:ilvl w:val="0"/>
          <w:numId w:val="14"/>
        </w:numPr>
        <w:rPr>
          <w:lang w:val="en-US"/>
        </w:rPr>
      </w:pPr>
      <w:r w:rsidRPr="00A51BCB">
        <w:rPr>
          <w:lang w:val="en-US"/>
        </w:rPr>
        <w:t>Introduction</w:t>
      </w:r>
    </w:p>
    <w:p w14:paraId="0EC54015" w14:textId="051DE720" w:rsidR="00157957" w:rsidRDefault="005E0408" w:rsidP="00EB1018">
      <w:pPr>
        <w:rPr>
          <w:lang w:val="en-US"/>
        </w:rPr>
      </w:pPr>
      <w:r>
        <w:rPr>
          <w:lang w:val="en-US"/>
        </w:rPr>
        <w:t xml:space="preserve">RAN4 received a LS from RAN1 regarding </w:t>
      </w:r>
      <w:r w:rsidR="00310964">
        <w:rPr>
          <w:lang w:val="en-US"/>
        </w:rPr>
        <w:t>listen-before-talk (</w:t>
      </w:r>
      <w:r>
        <w:rPr>
          <w:lang w:val="en-US"/>
        </w:rPr>
        <w:t>LBT</w:t>
      </w:r>
      <w:r w:rsidR="00310964">
        <w:rPr>
          <w:lang w:val="en-US"/>
        </w:rPr>
        <w:t>)</w:t>
      </w:r>
      <w:r>
        <w:rPr>
          <w:lang w:val="en-US"/>
        </w:rPr>
        <w:t xml:space="preserve"> operation in FR2-2 and the relationship between the transmission beam and the sensing beam used for LBT for the transmission</w:t>
      </w:r>
      <w:r w:rsidR="00DD592E">
        <w:rPr>
          <w:lang w:val="en-US"/>
        </w:rPr>
        <w:t xml:space="preserve"> [1]</w:t>
      </w:r>
      <w:r w:rsidR="006A0FF3">
        <w:rPr>
          <w:lang w:val="en-US"/>
        </w:rPr>
        <w:t>. In the LS RAN1 lists the agreements they have made and asks RAN4 to take those into account when considering if test or requirement is needed. In this contribution we discuss LBT and sensing beam from RAN4 perspective and propose a how to handle it in RAN4.</w:t>
      </w:r>
    </w:p>
    <w:p w14:paraId="728F8C07" w14:textId="1C047F08" w:rsidR="00533692" w:rsidRDefault="00150D4C" w:rsidP="00C86C2A">
      <w:pPr>
        <w:pStyle w:val="Heading1"/>
        <w:numPr>
          <w:ilvl w:val="0"/>
          <w:numId w:val="14"/>
        </w:numPr>
        <w:rPr>
          <w:lang w:val="en-US"/>
        </w:rPr>
      </w:pPr>
      <w:r>
        <w:rPr>
          <w:lang w:val="en-US"/>
        </w:rPr>
        <w:t>Discussion</w:t>
      </w:r>
    </w:p>
    <w:p w14:paraId="5D857EF2" w14:textId="7C3DC671" w:rsidR="21C3A442" w:rsidRPr="00310964" w:rsidRDefault="00310964">
      <w:pPr>
        <w:rPr>
          <w:color w:val="000000" w:themeColor="text1"/>
          <w:lang w:val="en-US"/>
        </w:rPr>
      </w:pPr>
      <w:r w:rsidRPr="00310964">
        <w:rPr>
          <w:color w:val="000000" w:themeColor="text1"/>
          <w:lang w:val="en-US"/>
        </w:rPr>
        <w:t>LBT pr</w:t>
      </w:r>
      <w:r>
        <w:rPr>
          <w:color w:val="000000" w:themeColor="text1"/>
          <w:lang w:val="en-US"/>
        </w:rPr>
        <w:t xml:space="preserve">ocedure exists in some unlicensed technologies to facilitate fair co-existence when multiple devices and/or network operate in the same frequency channel. The intention of LBT is that a device listens to the frequency channel first to detect whether there are on-going </w:t>
      </w:r>
      <w:proofErr w:type="gramStart"/>
      <w:r>
        <w:rPr>
          <w:color w:val="000000" w:themeColor="text1"/>
          <w:lang w:val="en-US"/>
        </w:rPr>
        <w:t>transmissions, and</w:t>
      </w:r>
      <w:proofErr w:type="gramEnd"/>
      <w:r>
        <w:rPr>
          <w:color w:val="000000" w:themeColor="text1"/>
          <w:lang w:val="en-US"/>
        </w:rPr>
        <w:t xml:space="preserve"> does not transmit in case the channel is already occupied.</w:t>
      </w:r>
    </w:p>
    <w:p w14:paraId="18BF3A29" w14:textId="4DAFCBC7" w:rsidR="00310964" w:rsidRDefault="00310964" w:rsidP="00310964">
      <w:pPr>
        <w:rPr>
          <w:lang w:val="en-US"/>
        </w:rPr>
      </w:pPr>
      <w:r>
        <w:rPr>
          <w:lang w:val="en-US"/>
        </w:rPr>
        <w:t>Within FR2-2, t</w:t>
      </w:r>
      <w:r w:rsidRPr="43253585">
        <w:rPr>
          <w:lang w:val="en-US"/>
        </w:rPr>
        <w:t xml:space="preserve">he co-existence between </w:t>
      </w:r>
      <w:proofErr w:type="spellStart"/>
      <w:r w:rsidR="006626CC" w:rsidRPr="43253585">
        <w:rPr>
          <w:lang w:val="en-US"/>
        </w:rPr>
        <w:t>Wi</w:t>
      </w:r>
      <w:r w:rsidR="006626CC">
        <w:rPr>
          <w:lang w:val="en-US"/>
        </w:rPr>
        <w:t>G</w:t>
      </w:r>
      <w:r w:rsidR="006626CC" w:rsidRPr="43253585">
        <w:rPr>
          <w:lang w:val="en-US"/>
        </w:rPr>
        <w:t>ig</w:t>
      </w:r>
      <w:proofErr w:type="spellEnd"/>
      <w:r w:rsidR="006626CC" w:rsidRPr="43253585">
        <w:rPr>
          <w:lang w:val="en-US"/>
        </w:rPr>
        <w:t xml:space="preserve"> </w:t>
      </w:r>
      <w:r w:rsidRPr="43253585">
        <w:rPr>
          <w:lang w:val="en-US"/>
        </w:rPr>
        <w:t>and other technologies have been extensively studied in ETSI BRAN, where three standards are within scope of the work: 302 567, 303 753 and 303 722 each targeting different scenarios in 57 – 71 GHz band from indoor operation to high power outdoor operation with fixed point-to-point links. None of these standards intended for regulative purposes necessitates usage of a specific channel raster or channel bandwidth. The same applies for FCC 47 CFR § 15.255 governing operation within the band 57-71 GHz.</w:t>
      </w:r>
    </w:p>
    <w:p w14:paraId="7B26FD2D" w14:textId="1664AC2D" w:rsidR="00310964" w:rsidRPr="00310964" w:rsidRDefault="00310964" w:rsidP="63787BCA">
      <w:pPr>
        <w:rPr>
          <w:lang w:val="en-US"/>
        </w:rPr>
      </w:pPr>
      <w:r w:rsidRPr="63787BCA">
        <w:rPr>
          <w:lang w:val="en-US"/>
        </w:rPr>
        <w:t xml:space="preserve">From the ETSI standards work on 303 753 and 303 722 include beamforming as a co-existence mechanism, </w:t>
      </w:r>
      <w:r w:rsidR="00154FAF" w:rsidRPr="63787BCA">
        <w:rPr>
          <w:lang w:val="en-US"/>
        </w:rPr>
        <w:t>and do not specify</w:t>
      </w:r>
      <w:r w:rsidRPr="63787BCA">
        <w:rPr>
          <w:lang w:val="en-US"/>
        </w:rPr>
        <w:t xml:space="preserve"> listen-before-talk (LBT) operation to be able to access the channel. Therefore</w:t>
      </w:r>
      <w:r w:rsidR="006626CC" w:rsidRPr="63787BCA">
        <w:rPr>
          <w:lang w:val="en-US"/>
        </w:rPr>
        <w:t>,</w:t>
      </w:r>
      <w:r w:rsidRPr="63787BCA">
        <w:rPr>
          <w:lang w:val="en-US"/>
        </w:rPr>
        <w:t xml:space="preserve"> LBT and channel alignment are not mandatory features from regulatory perspective. A device which implements LBT, would be certified against EN 302 567, and devices which do not implement LBT, would instead use EN 303 753 or 303 722. RAN1 specs do not require that equipment implement LBT; for UEs it is configured via RRC signaling.</w:t>
      </w:r>
    </w:p>
    <w:p w14:paraId="4174CF68" w14:textId="3E77D813" w:rsidR="00310964" w:rsidRPr="00310964" w:rsidRDefault="00310964">
      <w:pPr>
        <w:rPr>
          <w:b/>
          <w:bCs/>
          <w:lang w:val="en-US"/>
        </w:rPr>
      </w:pPr>
      <w:r w:rsidRPr="43253585">
        <w:rPr>
          <w:b/>
          <w:bCs/>
          <w:lang w:val="en-US"/>
        </w:rPr>
        <w:t xml:space="preserve">Observation 1: Current ETSI (303 753, 303 722) and FCC (FCC 47 CFR § 15.255) rules do not mandate usage of specific channel bandwidths or channel </w:t>
      </w:r>
      <w:proofErr w:type="spellStart"/>
      <w:r w:rsidRPr="43253585">
        <w:rPr>
          <w:b/>
          <w:bCs/>
          <w:lang w:val="en-US"/>
        </w:rPr>
        <w:t>rasters</w:t>
      </w:r>
      <w:proofErr w:type="spellEnd"/>
      <w:r>
        <w:rPr>
          <w:b/>
          <w:bCs/>
          <w:lang w:val="en-US"/>
        </w:rPr>
        <w:t xml:space="preserve"> and therefore also channel alignment is optional.</w:t>
      </w:r>
    </w:p>
    <w:p w14:paraId="55D113DE" w14:textId="2F2E0654" w:rsidR="006626CC" w:rsidRDefault="006626CC" w:rsidP="00DD592E">
      <w:pPr>
        <w:overflowPunct/>
        <w:autoSpaceDE/>
        <w:autoSpaceDN/>
        <w:adjustRightInd/>
        <w:spacing w:after="0"/>
        <w:textAlignment w:val="auto"/>
        <w:rPr>
          <w:lang w:val="en-US"/>
        </w:rPr>
      </w:pPr>
      <w:r w:rsidRPr="63787BCA">
        <w:rPr>
          <w:lang w:val="en-US"/>
        </w:rPr>
        <w:t>In case channel alignment and/or LBT operation would be required within some administration, network implementation can provide the support even without specific 3GPP requirements for the sensing beam. For example, ETSI EN 302 567, which specifies LBT as the coexistence mechanism for devices within its scope</w:t>
      </w:r>
      <w:r w:rsidR="00154FAF" w:rsidRPr="63787BCA">
        <w:rPr>
          <w:lang w:val="en-US"/>
        </w:rPr>
        <w:t>, includes a test to verify reaction to an interference signal. The following excerpt from EN 302 567 V2.2.1 describes the OTA test setup:</w:t>
      </w:r>
    </w:p>
    <w:p w14:paraId="5D83ED4B" w14:textId="77777777" w:rsidR="00154FAF" w:rsidRPr="00154FAF" w:rsidRDefault="00154FAF" w:rsidP="00154FAF">
      <w:pPr>
        <w:pStyle w:val="Heading5"/>
        <w:numPr>
          <w:ilvl w:val="0"/>
          <w:numId w:val="0"/>
        </w:numPr>
        <w:spacing w:before="240" w:after="120"/>
        <w:ind w:left="284"/>
        <w:rPr>
          <w:sz w:val="20"/>
          <w:szCs w:val="18"/>
          <w:lang w:val="en-US"/>
        </w:rPr>
      </w:pPr>
      <w:r w:rsidRPr="00154FAF">
        <w:rPr>
          <w:sz w:val="20"/>
          <w:szCs w:val="18"/>
          <w:lang w:val="en-US"/>
        </w:rPr>
        <w:t xml:space="preserve">5.3.8.2 Test method </w:t>
      </w:r>
    </w:p>
    <w:p w14:paraId="2FFE7D2B" w14:textId="49D57BBA" w:rsidR="00154FAF" w:rsidRPr="00154FAF" w:rsidRDefault="00154FAF" w:rsidP="00154FAF">
      <w:pPr>
        <w:ind w:left="284"/>
        <w:rPr>
          <w:sz w:val="18"/>
          <w:szCs w:val="18"/>
          <w:lang w:val="en-US"/>
        </w:rPr>
      </w:pPr>
      <w:r w:rsidRPr="00154FAF">
        <w:rPr>
          <w:sz w:val="18"/>
          <w:szCs w:val="18"/>
          <w:lang w:val="en-US"/>
        </w:rPr>
        <w:t xml:space="preserve">The principle is to establish a communication between UUT and companion device, and then check the </w:t>
      </w:r>
      <w:proofErr w:type="spellStart"/>
      <w:r w:rsidRPr="00154FAF">
        <w:rPr>
          <w:sz w:val="18"/>
          <w:szCs w:val="18"/>
          <w:lang w:val="en-US"/>
        </w:rPr>
        <w:t>behaviour</w:t>
      </w:r>
      <w:proofErr w:type="spellEnd"/>
      <w:r w:rsidRPr="00154FAF">
        <w:rPr>
          <w:sz w:val="18"/>
          <w:szCs w:val="18"/>
          <w:lang w:val="en-US"/>
        </w:rPr>
        <w:t xml:space="preserve"> of UUT in the presence of an interferer. </w:t>
      </w:r>
    </w:p>
    <w:p w14:paraId="752E8726" w14:textId="43D982FA" w:rsidR="006626CC" w:rsidRPr="00154FAF" w:rsidRDefault="00154FAF" w:rsidP="00154FAF">
      <w:pPr>
        <w:spacing w:after="240"/>
        <w:ind w:left="284"/>
        <w:rPr>
          <w:sz w:val="18"/>
          <w:szCs w:val="18"/>
          <w:lang w:val="en-US"/>
        </w:rPr>
      </w:pPr>
      <w:r w:rsidRPr="00154FAF">
        <w:rPr>
          <w:sz w:val="18"/>
          <w:szCs w:val="18"/>
          <w:lang w:val="en-US"/>
        </w:rPr>
        <w:t xml:space="preserve">The UUT may be connected to a companion device during the test. When performing this test of a UUT with directional antenna (such as array antenna system capable of </w:t>
      </w:r>
      <w:proofErr w:type="gramStart"/>
      <w:r w:rsidRPr="00154FAF">
        <w:rPr>
          <w:sz w:val="18"/>
          <w:szCs w:val="18"/>
          <w:lang w:val="en-US"/>
        </w:rPr>
        <w:t>beam-forming</w:t>
      </w:r>
      <w:proofErr w:type="gramEnd"/>
      <w:r w:rsidRPr="00154FAF">
        <w:rPr>
          <w:sz w:val="18"/>
          <w:szCs w:val="18"/>
          <w:lang w:val="en-US"/>
        </w:rPr>
        <w:t>), the wanted communication link (between the UUT and the companion device) and the interference signal shall be aligned to the direction corresponding to the UUT's maximum EIRP.</w:t>
      </w:r>
    </w:p>
    <w:p w14:paraId="4B3D4A0F" w14:textId="4D3D346A" w:rsidR="006626CC" w:rsidRDefault="00154FAF" w:rsidP="00DD592E">
      <w:pPr>
        <w:overflowPunct/>
        <w:autoSpaceDE/>
        <w:autoSpaceDN/>
        <w:adjustRightInd/>
        <w:spacing w:after="0"/>
        <w:textAlignment w:val="auto"/>
        <w:rPr>
          <w:lang w:val="en-US"/>
        </w:rPr>
      </w:pPr>
      <w:r>
        <w:rPr>
          <w:lang w:val="en-US"/>
        </w:rPr>
        <w:t xml:space="preserve">In case of 3GPP equipment following LBT-based access scheme in Europe, the </w:t>
      </w:r>
      <w:r w:rsidR="00235D45">
        <w:rPr>
          <w:lang w:val="en-US"/>
        </w:rPr>
        <w:t xml:space="preserve">LBT </w:t>
      </w:r>
      <w:r>
        <w:rPr>
          <w:lang w:val="en-US"/>
        </w:rPr>
        <w:t xml:space="preserve">tests outlined in EN 302 567 would be </w:t>
      </w:r>
      <w:r w:rsidR="00235D45">
        <w:rPr>
          <w:lang w:val="en-US"/>
        </w:rPr>
        <w:t xml:space="preserve">the most appropriate for type approval purposes. For any other region or administration with requirements for LBT, a similar test scheme would be appropriate as well. </w:t>
      </w:r>
      <w:r w:rsidR="00674063">
        <w:rPr>
          <w:lang w:val="en-US"/>
        </w:rPr>
        <w:t xml:space="preserve">The same tests of </w:t>
      </w:r>
      <w:r w:rsidR="00235D45">
        <w:rPr>
          <w:lang w:val="en-US"/>
        </w:rPr>
        <w:t xml:space="preserve">EN 302 567 </w:t>
      </w:r>
      <w:r w:rsidR="00674063">
        <w:rPr>
          <w:lang w:val="en-US"/>
        </w:rPr>
        <w:t xml:space="preserve">apply regardless of the </w:t>
      </w:r>
      <w:r w:rsidR="00235D45">
        <w:rPr>
          <w:lang w:val="en-US"/>
        </w:rPr>
        <w:t>device categories (</w:t>
      </w:r>
      <w:proofErr w:type="gramStart"/>
      <w:r w:rsidR="00235D45">
        <w:rPr>
          <w:lang w:val="en-US"/>
        </w:rPr>
        <w:t>e.g.</w:t>
      </w:r>
      <w:proofErr w:type="gramEnd"/>
      <w:r w:rsidR="00235D45">
        <w:rPr>
          <w:lang w:val="en-US"/>
        </w:rPr>
        <w:t xml:space="preserve"> </w:t>
      </w:r>
      <w:proofErr w:type="spellStart"/>
      <w:r w:rsidR="00235D45">
        <w:rPr>
          <w:lang w:val="en-US"/>
        </w:rPr>
        <w:t>gNB</w:t>
      </w:r>
      <w:proofErr w:type="spellEnd"/>
      <w:r w:rsidR="00235D45">
        <w:rPr>
          <w:lang w:val="en-US"/>
        </w:rPr>
        <w:t xml:space="preserve"> or UE)</w:t>
      </w:r>
      <w:r w:rsidR="00674063">
        <w:rPr>
          <w:lang w:val="en-US"/>
        </w:rPr>
        <w:t xml:space="preserve">. </w:t>
      </w:r>
      <w:r w:rsidR="00235D45">
        <w:rPr>
          <w:lang w:val="en-US"/>
        </w:rPr>
        <w:t>As quoted above, the EN 302 567 test setup places the communication link and the interferer source in the same direction from the unit under test – this is to ensure that the LBT sensing beam and the transmit beam cover the same space.</w:t>
      </w:r>
      <w:r w:rsidR="00674063">
        <w:rPr>
          <w:lang w:val="en-US"/>
        </w:rPr>
        <w:t xml:space="preserve"> Hence, there are already suitable sensing beam requirements that any LBT based </w:t>
      </w:r>
      <w:r w:rsidR="00674063">
        <w:rPr>
          <w:lang w:val="en-US"/>
        </w:rPr>
        <w:lastRenderedPageBreak/>
        <w:t>product will in practice need to implement.</w:t>
      </w:r>
      <w:r w:rsidR="00B32964">
        <w:rPr>
          <w:lang w:val="en-US"/>
        </w:rPr>
        <w:t xml:space="preserve"> It is not necessary for RAN4 to introduce additional requirements or tests that would in any case fulfil the same purpose as the tests that already exist in EN 302 567, and which could not in practice contradict that standard.</w:t>
      </w:r>
    </w:p>
    <w:p w14:paraId="7591CC2D" w14:textId="7552CF9C" w:rsidR="00674063" w:rsidRDefault="00674063" w:rsidP="00DD592E">
      <w:pPr>
        <w:overflowPunct/>
        <w:autoSpaceDE/>
        <w:autoSpaceDN/>
        <w:adjustRightInd/>
        <w:spacing w:after="0"/>
        <w:textAlignment w:val="auto"/>
        <w:rPr>
          <w:lang w:val="en-US"/>
        </w:rPr>
      </w:pPr>
    </w:p>
    <w:p w14:paraId="04F377DB" w14:textId="30736A9C" w:rsidR="00674063" w:rsidRPr="00674063" w:rsidRDefault="00674063" w:rsidP="00DD592E">
      <w:pPr>
        <w:overflowPunct/>
        <w:autoSpaceDE/>
        <w:autoSpaceDN/>
        <w:adjustRightInd/>
        <w:spacing w:after="0"/>
        <w:textAlignment w:val="auto"/>
        <w:rPr>
          <w:b/>
          <w:bCs/>
          <w:lang w:val="en-US"/>
        </w:rPr>
      </w:pPr>
      <w:bookmarkStart w:id="1" w:name="_Hlk95468386"/>
      <w:r w:rsidRPr="00674063">
        <w:rPr>
          <w:b/>
          <w:bCs/>
          <w:lang w:val="en-US"/>
        </w:rPr>
        <w:t xml:space="preserve">Observation 2: ETSI EN 302 567 already includes LBT sensing beam and transmit beam </w:t>
      </w:r>
      <w:r>
        <w:rPr>
          <w:b/>
          <w:bCs/>
          <w:lang w:val="en-US"/>
        </w:rPr>
        <w:t>requirements, and this correspondence will in practice be mandatory for LBT based equipment on the 57-71 GHz band.</w:t>
      </w:r>
    </w:p>
    <w:bookmarkEnd w:id="1"/>
    <w:p w14:paraId="53FC23D7" w14:textId="77777777" w:rsidR="00674063" w:rsidRDefault="00674063" w:rsidP="00DD592E">
      <w:pPr>
        <w:overflowPunct/>
        <w:autoSpaceDE/>
        <w:autoSpaceDN/>
        <w:adjustRightInd/>
        <w:spacing w:after="0"/>
        <w:textAlignment w:val="auto"/>
        <w:rPr>
          <w:lang w:val="en-US"/>
        </w:rPr>
      </w:pPr>
    </w:p>
    <w:p w14:paraId="5CFB5967" w14:textId="7E7ADB08" w:rsidR="00B036EC" w:rsidRDefault="00310964" w:rsidP="00DD592E">
      <w:pPr>
        <w:overflowPunct/>
        <w:autoSpaceDE/>
        <w:autoSpaceDN/>
        <w:adjustRightInd/>
        <w:spacing w:after="0"/>
        <w:textAlignment w:val="auto"/>
        <w:rPr>
          <w:lang w:val="en-US"/>
        </w:rPr>
      </w:pPr>
      <w:r>
        <w:rPr>
          <w:lang w:val="en-US"/>
        </w:rPr>
        <w:t>So far RAN4 has not discussed LBT for FR2-2</w:t>
      </w:r>
      <w:r w:rsidR="00DD592E">
        <w:rPr>
          <w:lang w:val="en-US"/>
        </w:rPr>
        <w:t xml:space="preserve">. </w:t>
      </w:r>
      <w:r w:rsidR="00B036EC">
        <w:rPr>
          <w:lang w:val="en-US"/>
        </w:rPr>
        <w:t xml:space="preserve">Given that there </w:t>
      </w:r>
      <w:r w:rsidR="006626CC">
        <w:rPr>
          <w:lang w:val="en-US"/>
        </w:rPr>
        <w:t>are</w:t>
      </w:r>
      <w:r w:rsidR="00B036EC">
        <w:rPr>
          <w:lang w:val="en-US"/>
        </w:rPr>
        <w:t xml:space="preserve"> only 2 meetings left for the work, it would be extremely challenging to come up with requirements for LBT, which have not been specified for FR2 in the past. However, one option could still be to get guidance from the requirements in lower frequencies.</w:t>
      </w:r>
    </w:p>
    <w:p w14:paraId="234658DD" w14:textId="77777777" w:rsidR="00B036EC" w:rsidRDefault="00B036EC" w:rsidP="00DD592E">
      <w:pPr>
        <w:overflowPunct/>
        <w:autoSpaceDE/>
        <w:autoSpaceDN/>
        <w:adjustRightInd/>
        <w:spacing w:after="0"/>
        <w:textAlignment w:val="auto"/>
        <w:rPr>
          <w:lang w:val="en-US"/>
        </w:rPr>
      </w:pPr>
    </w:p>
    <w:p w14:paraId="2B88FDE1" w14:textId="0BB796E1" w:rsidR="00DD592E" w:rsidRDefault="00DD592E" w:rsidP="00DD592E">
      <w:pPr>
        <w:overflowPunct/>
        <w:autoSpaceDE/>
        <w:autoSpaceDN/>
        <w:adjustRightInd/>
        <w:spacing w:after="0"/>
        <w:textAlignment w:val="auto"/>
        <w:rPr>
          <w:lang w:val="en-US"/>
        </w:rPr>
      </w:pPr>
      <w:r>
        <w:rPr>
          <w:lang w:val="en-US"/>
        </w:rPr>
        <w:t xml:space="preserve">For lower frequencies where LBT has been considered the LBT requirements and tests </w:t>
      </w:r>
      <w:r w:rsidR="00B036EC">
        <w:rPr>
          <w:lang w:val="en-US"/>
        </w:rPr>
        <w:t xml:space="preserve">are not part of the RF requirement specification TS 38.104. Instead, they </w:t>
      </w:r>
      <w:r>
        <w:rPr>
          <w:lang w:val="en-US"/>
        </w:rPr>
        <w:t>have been captured in TS 37.107, “</w:t>
      </w:r>
      <w:r w:rsidRPr="00DD592E">
        <w:rPr>
          <w:lang w:val="en-US"/>
        </w:rPr>
        <w:t>Base Station (BS) requirements and conformance tests for shared spectrum channel access”</w:t>
      </w:r>
      <w:r>
        <w:rPr>
          <w:lang w:val="en-US"/>
        </w:rPr>
        <w:t>. However, in the WID [2]</w:t>
      </w:r>
      <w:r w:rsidR="00B036EC">
        <w:rPr>
          <w:lang w:val="en-US"/>
        </w:rPr>
        <w:t xml:space="preserve"> this specification has not been listed as being impacted, and change is not possible to be done. Therefore, already from RAN the guidance is not to specify LBT requirements for FR2-2. </w:t>
      </w:r>
    </w:p>
    <w:p w14:paraId="1E9727B3" w14:textId="27DAC24A" w:rsidR="00B036EC" w:rsidRDefault="00B036EC" w:rsidP="00DD592E">
      <w:pPr>
        <w:overflowPunct/>
        <w:autoSpaceDE/>
        <w:autoSpaceDN/>
        <w:adjustRightInd/>
        <w:spacing w:after="0"/>
        <w:textAlignment w:val="auto"/>
        <w:rPr>
          <w:lang w:val="en-US"/>
        </w:rPr>
      </w:pPr>
    </w:p>
    <w:p w14:paraId="0E5C5692" w14:textId="4A31C99A" w:rsidR="00B036EC" w:rsidRPr="00B036EC" w:rsidRDefault="00B036EC" w:rsidP="00DD592E">
      <w:pPr>
        <w:overflowPunct/>
        <w:autoSpaceDE/>
        <w:autoSpaceDN/>
        <w:adjustRightInd/>
        <w:spacing w:after="0"/>
        <w:textAlignment w:val="auto"/>
        <w:rPr>
          <w:b/>
          <w:bCs/>
          <w:lang w:val="en-US"/>
        </w:rPr>
      </w:pPr>
      <w:r w:rsidRPr="00B036EC">
        <w:rPr>
          <w:b/>
          <w:bCs/>
          <w:lang w:val="en-US"/>
        </w:rPr>
        <w:t xml:space="preserve">Observation </w:t>
      </w:r>
      <w:r w:rsidR="00674063">
        <w:rPr>
          <w:b/>
          <w:bCs/>
          <w:lang w:val="en-US"/>
        </w:rPr>
        <w:t>3</w:t>
      </w:r>
      <w:r>
        <w:rPr>
          <w:b/>
          <w:bCs/>
          <w:lang w:val="en-US"/>
        </w:rPr>
        <w:t>: Shared spectrum channel access requirements are not specified in TS 38.104.</w:t>
      </w:r>
    </w:p>
    <w:p w14:paraId="28A178F1" w14:textId="77777777" w:rsidR="00B036EC" w:rsidRPr="00DD592E" w:rsidRDefault="00B036EC" w:rsidP="00DD592E">
      <w:pPr>
        <w:overflowPunct/>
        <w:autoSpaceDE/>
        <w:autoSpaceDN/>
        <w:adjustRightInd/>
        <w:spacing w:after="0"/>
        <w:textAlignment w:val="auto"/>
        <w:rPr>
          <w:lang w:val="en-US"/>
        </w:rPr>
      </w:pPr>
    </w:p>
    <w:p w14:paraId="24C05C0E" w14:textId="730FF0FC" w:rsidR="00310964" w:rsidRDefault="00B036EC">
      <w:pPr>
        <w:rPr>
          <w:b/>
          <w:bCs/>
          <w:lang w:val="en-US"/>
        </w:rPr>
      </w:pPr>
      <w:r>
        <w:rPr>
          <w:b/>
          <w:bCs/>
          <w:lang w:val="en-US"/>
        </w:rPr>
        <w:t xml:space="preserve">Observation </w:t>
      </w:r>
      <w:r w:rsidR="00674063">
        <w:rPr>
          <w:b/>
          <w:bCs/>
          <w:lang w:val="en-US"/>
        </w:rPr>
        <w:t>4</w:t>
      </w:r>
      <w:r>
        <w:rPr>
          <w:b/>
          <w:bCs/>
          <w:lang w:val="en-US"/>
        </w:rPr>
        <w:t>: Specification impact to requirements and conformance tests for shared spectrum channel access is not part of the WID and therefore LBT requirements cannot be specified.</w:t>
      </w:r>
    </w:p>
    <w:p w14:paraId="058DEDF9" w14:textId="59260023" w:rsidR="00B036EC" w:rsidRDefault="00B036EC" w:rsidP="00B036EC">
      <w:pPr>
        <w:overflowPunct/>
        <w:snapToGrid w:val="0"/>
        <w:spacing w:after="0"/>
        <w:jc w:val="both"/>
        <w:textAlignment w:val="auto"/>
        <w:rPr>
          <w:szCs w:val="18"/>
        </w:rPr>
      </w:pPr>
      <w:r>
        <w:rPr>
          <w:lang w:val="en-US"/>
        </w:rPr>
        <w:t>In the LS it has also been recognized that “</w:t>
      </w:r>
      <w:r>
        <w:rPr>
          <w:szCs w:val="18"/>
        </w:rPr>
        <w:t xml:space="preserve">RAN4 can further decide for </w:t>
      </w:r>
      <w:proofErr w:type="spellStart"/>
      <w:r>
        <w:rPr>
          <w:szCs w:val="18"/>
        </w:rPr>
        <w:t>gNB</w:t>
      </w:r>
      <w:proofErr w:type="spellEnd"/>
      <w:r>
        <w:rPr>
          <w:szCs w:val="18"/>
        </w:rPr>
        <w:t xml:space="preserve"> or UE separately if such test or requirement is not needed or not practical and leave it to </w:t>
      </w:r>
      <w:proofErr w:type="spellStart"/>
      <w:r>
        <w:rPr>
          <w:szCs w:val="18"/>
        </w:rPr>
        <w:t>gNB</w:t>
      </w:r>
      <w:proofErr w:type="spellEnd"/>
      <w:r>
        <w:rPr>
          <w:szCs w:val="18"/>
        </w:rPr>
        <w:t xml:space="preserve"> or UE implementation”. Given the observations above the most reasonable thing to do is to leave sensing beam related aspects up to </w:t>
      </w:r>
      <w:proofErr w:type="spellStart"/>
      <w:r>
        <w:rPr>
          <w:szCs w:val="18"/>
        </w:rPr>
        <w:t>gNB</w:t>
      </w:r>
      <w:proofErr w:type="spellEnd"/>
      <w:r>
        <w:rPr>
          <w:szCs w:val="18"/>
        </w:rPr>
        <w:t xml:space="preserve"> implementation.</w:t>
      </w:r>
    </w:p>
    <w:p w14:paraId="504E5833" w14:textId="166C886A" w:rsidR="00B036EC" w:rsidRDefault="00B036EC" w:rsidP="00B036EC">
      <w:pPr>
        <w:overflowPunct/>
        <w:snapToGrid w:val="0"/>
        <w:spacing w:after="0"/>
        <w:jc w:val="both"/>
        <w:textAlignment w:val="auto"/>
        <w:rPr>
          <w:szCs w:val="18"/>
        </w:rPr>
      </w:pPr>
    </w:p>
    <w:p w14:paraId="417B6BA3" w14:textId="34510934" w:rsidR="00B036EC" w:rsidRPr="00B036EC" w:rsidRDefault="00B036EC" w:rsidP="00B036EC">
      <w:pPr>
        <w:overflowPunct/>
        <w:snapToGrid w:val="0"/>
        <w:spacing w:after="0"/>
        <w:jc w:val="both"/>
        <w:textAlignment w:val="auto"/>
        <w:rPr>
          <w:b/>
          <w:bCs/>
          <w:sz w:val="22"/>
        </w:rPr>
      </w:pPr>
      <w:r w:rsidRPr="00B036EC">
        <w:rPr>
          <w:b/>
          <w:bCs/>
          <w:szCs w:val="18"/>
        </w:rPr>
        <w:t xml:space="preserve">Proposal 1: Leave sensing beam and its relationship to transmission beam to </w:t>
      </w:r>
      <w:proofErr w:type="spellStart"/>
      <w:r w:rsidRPr="00B036EC">
        <w:rPr>
          <w:b/>
          <w:bCs/>
          <w:szCs w:val="18"/>
        </w:rPr>
        <w:t>gNB</w:t>
      </w:r>
      <w:proofErr w:type="spellEnd"/>
      <w:r w:rsidRPr="00B036EC">
        <w:rPr>
          <w:b/>
          <w:bCs/>
          <w:szCs w:val="18"/>
        </w:rPr>
        <w:t xml:space="preserve"> </w:t>
      </w:r>
      <w:r w:rsidR="006626CC">
        <w:rPr>
          <w:b/>
          <w:bCs/>
          <w:szCs w:val="18"/>
        </w:rPr>
        <w:t xml:space="preserve">and UE </w:t>
      </w:r>
      <w:r w:rsidRPr="00B036EC">
        <w:rPr>
          <w:b/>
          <w:bCs/>
          <w:szCs w:val="18"/>
        </w:rPr>
        <w:t>implementation.</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4702B281" w:rsidR="0010253A" w:rsidRDefault="0010253A" w:rsidP="0010253A">
      <w:pPr>
        <w:rPr>
          <w:lang w:val="en-US" w:eastAsia="zh-CN"/>
        </w:rPr>
      </w:pPr>
      <w:r w:rsidRPr="43253585">
        <w:rPr>
          <w:lang w:val="en-US" w:eastAsia="zh-CN"/>
        </w:rPr>
        <w:t xml:space="preserve">In this contribution </w:t>
      </w:r>
      <w:r w:rsidR="00B036EC">
        <w:rPr>
          <w:lang w:val="en-US" w:eastAsia="zh-CN"/>
        </w:rPr>
        <w:t>sensing beam and its relationship to transmission beam was discussed. The following observations and proposal were made.</w:t>
      </w:r>
    </w:p>
    <w:p w14:paraId="09A91836" w14:textId="391339E8" w:rsidR="00B036EC" w:rsidRDefault="00B036EC" w:rsidP="00B036EC">
      <w:pPr>
        <w:rPr>
          <w:b/>
          <w:bCs/>
          <w:lang w:val="en-US"/>
        </w:rPr>
      </w:pPr>
      <w:r w:rsidRPr="43253585">
        <w:rPr>
          <w:b/>
          <w:bCs/>
          <w:lang w:val="en-US"/>
        </w:rPr>
        <w:t xml:space="preserve">Observation 1: Current ETSI (303 753, 303 722) and FCC (FCC 47 CFR § 15.255) rules do not mandate usage of specific channel bandwidths or channel </w:t>
      </w:r>
      <w:proofErr w:type="spellStart"/>
      <w:r w:rsidRPr="43253585">
        <w:rPr>
          <w:b/>
          <w:bCs/>
          <w:lang w:val="en-US"/>
        </w:rPr>
        <w:t>rasters</w:t>
      </w:r>
      <w:proofErr w:type="spellEnd"/>
      <w:r>
        <w:rPr>
          <w:b/>
          <w:bCs/>
          <w:lang w:val="en-US"/>
        </w:rPr>
        <w:t xml:space="preserve"> and therefore also channel alignment is optional.</w:t>
      </w:r>
    </w:p>
    <w:p w14:paraId="31A146D5" w14:textId="46853A9C" w:rsidR="00674063" w:rsidRPr="00310964" w:rsidRDefault="00674063" w:rsidP="00B036EC">
      <w:pPr>
        <w:rPr>
          <w:b/>
          <w:bCs/>
          <w:lang w:val="en-US"/>
        </w:rPr>
      </w:pPr>
      <w:r w:rsidRPr="00674063">
        <w:rPr>
          <w:b/>
          <w:bCs/>
          <w:lang w:val="en-US"/>
        </w:rPr>
        <w:t>Observation 2: ETSI EN 302 567 already includes LBT sensing beam and transmit beam requirements, and this correspondence will in practice be mandatory for LBT based equipment on the 57-71 GHz band.</w:t>
      </w:r>
    </w:p>
    <w:p w14:paraId="27F5F3EB" w14:textId="459CDDCC" w:rsidR="00B036EC" w:rsidRPr="00B036EC" w:rsidRDefault="00B036EC" w:rsidP="00B036EC">
      <w:pPr>
        <w:overflowPunct/>
        <w:autoSpaceDE/>
        <w:autoSpaceDN/>
        <w:adjustRightInd/>
        <w:spacing w:after="0"/>
        <w:textAlignment w:val="auto"/>
        <w:rPr>
          <w:b/>
          <w:bCs/>
          <w:lang w:val="en-US"/>
        </w:rPr>
      </w:pPr>
      <w:r w:rsidRPr="00B036EC">
        <w:rPr>
          <w:b/>
          <w:bCs/>
          <w:lang w:val="en-US"/>
        </w:rPr>
        <w:t xml:space="preserve">Observation </w:t>
      </w:r>
      <w:r w:rsidR="00674063">
        <w:rPr>
          <w:b/>
          <w:bCs/>
          <w:lang w:val="en-US"/>
        </w:rPr>
        <w:t>3</w:t>
      </w:r>
      <w:r>
        <w:rPr>
          <w:b/>
          <w:bCs/>
          <w:lang w:val="en-US"/>
        </w:rPr>
        <w:t>: Shared spectrum channel access requirements are not specified in TS 38.104.</w:t>
      </w:r>
    </w:p>
    <w:p w14:paraId="219B3A2B" w14:textId="77777777" w:rsidR="00B036EC" w:rsidRPr="00DD592E" w:rsidRDefault="00B036EC" w:rsidP="00B036EC">
      <w:pPr>
        <w:overflowPunct/>
        <w:autoSpaceDE/>
        <w:autoSpaceDN/>
        <w:adjustRightInd/>
        <w:spacing w:after="0"/>
        <w:textAlignment w:val="auto"/>
        <w:rPr>
          <w:lang w:val="en-US"/>
        </w:rPr>
      </w:pPr>
    </w:p>
    <w:p w14:paraId="5B133526" w14:textId="2DF5A477" w:rsidR="00B036EC" w:rsidRDefault="00B036EC" w:rsidP="00B036EC">
      <w:pPr>
        <w:rPr>
          <w:b/>
          <w:bCs/>
          <w:lang w:val="en-US"/>
        </w:rPr>
      </w:pPr>
      <w:r>
        <w:rPr>
          <w:b/>
          <w:bCs/>
          <w:lang w:val="en-US"/>
        </w:rPr>
        <w:t xml:space="preserve">Observation </w:t>
      </w:r>
      <w:r w:rsidR="00674063">
        <w:rPr>
          <w:b/>
          <w:bCs/>
          <w:lang w:val="en-US"/>
        </w:rPr>
        <w:t>4</w:t>
      </w:r>
      <w:r>
        <w:rPr>
          <w:b/>
          <w:bCs/>
          <w:lang w:val="en-US"/>
        </w:rPr>
        <w:t>: Specification impact to requirements and conformance tests for shared spectrum channel access is not part of the WID and therefore LBT requirements cannot be specified.</w:t>
      </w:r>
    </w:p>
    <w:p w14:paraId="1A56A949" w14:textId="066EB71F" w:rsidR="00B036EC" w:rsidRPr="00B036EC" w:rsidRDefault="00B036EC" w:rsidP="00B036EC">
      <w:pPr>
        <w:overflowPunct/>
        <w:snapToGrid w:val="0"/>
        <w:spacing w:after="0"/>
        <w:jc w:val="both"/>
        <w:textAlignment w:val="auto"/>
        <w:rPr>
          <w:b/>
          <w:bCs/>
          <w:sz w:val="22"/>
        </w:rPr>
      </w:pPr>
      <w:r w:rsidRPr="00B036EC">
        <w:rPr>
          <w:b/>
          <w:bCs/>
          <w:szCs w:val="18"/>
        </w:rPr>
        <w:t xml:space="preserve">Proposal 1: Leave sensing beam and its relationship to transmission beam to </w:t>
      </w:r>
      <w:proofErr w:type="spellStart"/>
      <w:r w:rsidRPr="00B036EC">
        <w:rPr>
          <w:b/>
          <w:bCs/>
          <w:szCs w:val="18"/>
        </w:rPr>
        <w:t>gNB</w:t>
      </w:r>
      <w:proofErr w:type="spellEnd"/>
      <w:r w:rsidRPr="00B036EC">
        <w:rPr>
          <w:b/>
          <w:bCs/>
          <w:szCs w:val="18"/>
        </w:rPr>
        <w:t xml:space="preserve"> </w:t>
      </w:r>
      <w:r w:rsidR="006626CC">
        <w:rPr>
          <w:b/>
          <w:bCs/>
          <w:szCs w:val="18"/>
        </w:rPr>
        <w:t xml:space="preserve">and UE </w:t>
      </w:r>
      <w:r w:rsidRPr="00B036EC">
        <w:rPr>
          <w:b/>
          <w:bCs/>
          <w:szCs w:val="18"/>
        </w:rPr>
        <w:t>implementation.</w:t>
      </w:r>
    </w:p>
    <w:p w14:paraId="49A6EAFD" w14:textId="3DD106FD" w:rsidR="00FB786A" w:rsidRPr="009425CA" w:rsidRDefault="00FB786A" w:rsidP="2DA89E2A">
      <w:pPr>
        <w:spacing w:after="0"/>
        <w:rPr>
          <w:b/>
          <w:bCs/>
        </w:rPr>
      </w:pPr>
    </w:p>
    <w:p w14:paraId="70D2EA71" w14:textId="7963519E" w:rsidR="0010253A" w:rsidRDefault="0010253A" w:rsidP="0010253A">
      <w:pPr>
        <w:pStyle w:val="Heading1"/>
        <w:ind w:left="0" w:firstLine="0"/>
        <w:rPr>
          <w:lang w:val="en-US" w:eastAsia="ja-JP"/>
        </w:rPr>
      </w:pPr>
      <w:r w:rsidRPr="00B53A40">
        <w:rPr>
          <w:lang w:val="en-US" w:eastAsia="ja-JP"/>
        </w:rPr>
        <w:t xml:space="preserve">References </w:t>
      </w:r>
    </w:p>
    <w:p w14:paraId="723F2084" w14:textId="173517F2" w:rsidR="00360992" w:rsidRDefault="59AFA31E" w:rsidP="6F2F732A">
      <w:pPr>
        <w:spacing w:line="259" w:lineRule="auto"/>
        <w:rPr>
          <w:lang w:val="en-US" w:eastAsia="ja-JP"/>
        </w:rPr>
      </w:pPr>
      <w:r w:rsidRPr="0B55035A">
        <w:rPr>
          <w:lang w:val="en-US" w:eastAsia="ja-JP"/>
        </w:rPr>
        <w:t xml:space="preserve">[1] </w:t>
      </w:r>
      <w:r w:rsidR="00360992" w:rsidRPr="0B55035A">
        <w:rPr>
          <w:lang w:val="en-US" w:eastAsia="ja-JP"/>
        </w:rPr>
        <w:t>R</w:t>
      </w:r>
      <w:r w:rsidR="005E0408">
        <w:rPr>
          <w:lang w:val="en-US" w:eastAsia="ja-JP"/>
        </w:rPr>
        <w:t>1</w:t>
      </w:r>
      <w:r w:rsidR="00360992" w:rsidRPr="0B55035A">
        <w:rPr>
          <w:lang w:val="en-US" w:eastAsia="ja-JP"/>
        </w:rPr>
        <w:t>-21</w:t>
      </w:r>
      <w:r w:rsidR="005E0408">
        <w:rPr>
          <w:lang w:val="en-US" w:eastAsia="ja-JP"/>
        </w:rPr>
        <w:t>12806</w:t>
      </w:r>
      <w:r w:rsidR="00360992" w:rsidRPr="0B55035A">
        <w:rPr>
          <w:lang w:val="en-US" w:eastAsia="ja-JP"/>
        </w:rPr>
        <w:t xml:space="preserve">, </w:t>
      </w:r>
      <w:r w:rsidR="00360992" w:rsidRPr="0B55035A">
        <w:rPr>
          <w:i/>
          <w:iCs/>
          <w:lang w:val="en-US" w:eastAsia="ja-JP"/>
        </w:rPr>
        <w:t>“</w:t>
      </w:r>
      <w:r w:rsidR="005E0408">
        <w:rPr>
          <w:i/>
          <w:iCs/>
          <w:lang w:val="en-US" w:eastAsia="ja-JP"/>
        </w:rPr>
        <w:t>LS on sensing beam selection”</w:t>
      </w:r>
      <w:r w:rsidR="005E0408" w:rsidRPr="005E0408">
        <w:rPr>
          <w:lang w:val="en-US" w:eastAsia="ja-JP"/>
        </w:rPr>
        <w:t>, RAN1</w:t>
      </w:r>
    </w:p>
    <w:p w14:paraId="6AE45FCD" w14:textId="1F22190E" w:rsidR="00DD592E" w:rsidRPr="00DD592E" w:rsidRDefault="00DD592E" w:rsidP="6F2F732A">
      <w:pPr>
        <w:spacing w:line="259" w:lineRule="auto"/>
        <w:rPr>
          <w:lang w:val="en-US" w:eastAsia="ja-JP"/>
        </w:rPr>
      </w:pPr>
      <w:r>
        <w:rPr>
          <w:lang w:val="en-US" w:eastAsia="ja-JP"/>
        </w:rPr>
        <w:t>[2] RP-21</w:t>
      </w:r>
      <w:r w:rsidR="00955D91">
        <w:rPr>
          <w:lang w:val="en-US" w:eastAsia="ja-JP"/>
        </w:rPr>
        <w:t>3540</w:t>
      </w:r>
      <w:r>
        <w:rPr>
          <w:lang w:val="en-US" w:eastAsia="ja-JP"/>
        </w:rPr>
        <w:t xml:space="preserve">, </w:t>
      </w:r>
      <w:r w:rsidRPr="00DD592E">
        <w:rPr>
          <w:i/>
          <w:iCs/>
          <w:lang w:val="en-US" w:eastAsia="ja-JP"/>
        </w:rPr>
        <w:t>“Extending current NR operation to 71 GHz”</w:t>
      </w:r>
      <w:r>
        <w:rPr>
          <w:i/>
          <w:iCs/>
          <w:lang w:val="en-US" w:eastAsia="ja-JP"/>
        </w:rPr>
        <w:t xml:space="preserve">, </w:t>
      </w:r>
      <w:r>
        <w:rPr>
          <w:lang w:val="en-US" w:eastAsia="ja-JP"/>
        </w:rPr>
        <w:t>Qualcomm, Intel</w:t>
      </w:r>
    </w:p>
    <w:bookmarkEnd w:id="0"/>
    <w:p w14:paraId="5AC89A5A" w14:textId="70724BB6" w:rsidR="00A7779A" w:rsidRPr="00DD249C" w:rsidRDefault="00A7779A" w:rsidP="009425CA">
      <w:pPr>
        <w:spacing w:line="259" w:lineRule="auto"/>
        <w:rPr>
          <w:b/>
          <w:bCs/>
          <w:lang w:val="en-US"/>
        </w:rPr>
      </w:pPr>
    </w:p>
    <w:sectPr w:rsidR="00A7779A" w:rsidRPr="00DD249C"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CB62D" w14:textId="77777777" w:rsidR="001C1D46" w:rsidRDefault="001C1D46">
      <w:r>
        <w:separator/>
      </w:r>
    </w:p>
    <w:p w14:paraId="45B5ADCB" w14:textId="77777777" w:rsidR="001C1D46" w:rsidRDefault="001C1D46"/>
  </w:endnote>
  <w:endnote w:type="continuationSeparator" w:id="0">
    <w:p w14:paraId="5803B4CE" w14:textId="77777777" w:rsidR="001C1D46" w:rsidRDefault="001C1D46">
      <w:r>
        <w:continuationSeparator/>
      </w:r>
    </w:p>
    <w:p w14:paraId="213C33D4" w14:textId="77777777" w:rsidR="001C1D46" w:rsidRDefault="001C1D46"/>
  </w:endnote>
  <w:endnote w:type="continuationNotice" w:id="1">
    <w:p w14:paraId="304399EC" w14:textId="77777777" w:rsidR="001C1D46" w:rsidRDefault="001C1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0A88FB" w14:textId="77777777" w:rsidR="001C1D46" w:rsidRDefault="001C1D46">
      <w:r>
        <w:separator/>
      </w:r>
    </w:p>
    <w:p w14:paraId="3635D728" w14:textId="77777777" w:rsidR="001C1D46" w:rsidRDefault="001C1D46"/>
  </w:footnote>
  <w:footnote w:type="continuationSeparator" w:id="0">
    <w:p w14:paraId="7460A810" w14:textId="77777777" w:rsidR="001C1D46" w:rsidRDefault="001C1D46">
      <w:r>
        <w:continuationSeparator/>
      </w:r>
    </w:p>
    <w:p w14:paraId="3B1C616D" w14:textId="77777777" w:rsidR="001C1D46" w:rsidRDefault="001C1D46"/>
  </w:footnote>
  <w:footnote w:type="continuationNotice" w:id="1">
    <w:p w14:paraId="07294442" w14:textId="77777777" w:rsidR="001C1D46" w:rsidRDefault="001C1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920FC9"/>
    <w:multiLevelType w:val="hybridMultilevel"/>
    <w:tmpl w:val="FFFFFFFF"/>
    <w:lvl w:ilvl="0" w:tplc="84764532">
      <w:start w:val="1"/>
      <w:numFmt w:val="decimal"/>
      <w:lvlText w:val="%1."/>
      <w:lvlJc w:val="left"/>
      <w:pPr>
        <w:ind w:left="720" w:hanging="360"/>
      </w:pPr>
    </w:lvl>
    <w:lvl w:ilvl="1" w:tplc="05723F7E">
      <w:start w:val="1"/>
      <w:numFmt w:val="lowerLetter"/>
      <w:lvlText w:val="%2."/>
      <w:lvlJc w:val="left"/>
      <w:pPr>
        <w:ind w:left="1440" w:hanging="360"/>
      </w:pPr>
    </w:lvl>
    <w:lvl w:ilvl="2" w:tplc="3FE0F974">
      <w:start w:val="1"/>
      <w:numFmt w:val="lowerRoman"/>
      <w:lvlText w:val="%3."/>
      <w:lvlJc w:val="right"/>
      <w:pPr>
        <w:ind w:left="2160" w:hanging="180"/>
      </w:pPr>
    </w:lvl>
    <w:lvl w:ilvl="3" w:tplc="98208882">
      <w:start w:val="1"/>
      <w:numFmt w:val="decimal"/>
      <w:lvlText w:val="%4."/>
      <w:lvlJc w:val="left"/>
      <w:pPr>
        <w:ind w:left="2880" w:hanging="360"/>
      </w:pPr>
    </w:lvl>
    <w:lvl w:ilvl="4" w:tplc="4538F374">
      <w:start w:val="1"/>
      <w:numFmt w:val="lowerLetter"/>
      <w:lvlText w:val="%5."/>
      <w:lvlJc w:val="left"/>
      <w:pPr>
        <w:ind w:left="3600" w:hanging="360"/>
      </w:pPr>
    </w:lvl>
    <w:lvl w:ilvl="5" w:tplc="3D50A8B6">
      <w:start w:val="1"/>
      <w:numFmt w:val="lowerRoman"/>
      <w:lvlText w:val="%6."/>
      <w:lvlJc w:val="right"/>
      <w:pPr>
        <w:ind w:left="4320" w:hanging="180"/>
      </w:pPr>
    </w:lvl>
    <w:lvl w:ilvl="6" w:tplc="C21C4F16">
      <w:start w:val="1"/>
      <w:numFmt w:val="decimal"/>
      <w:lvlText w:val="%7."/>
      <w:lvlJc w:val="left"/>
      <w:pPr>
        <w:ind w:left="5040" w:hanging="360"/>
      </w:pPr>
    </w:lvl>
    <w:lvl w:ilvl="7" w:tplc="7E5E3C94">
      <w:start w:val="1"/>
      <w:numFmt w:val="lowerLetter"/>
      <w:lvlText w:val="%8."/>
      <w:lvlJc w:val="left"/>
      <w:pPr>
        <w:ind w:left="5760" w:hanging="360"/>
      </w:pPr>
    </w:lvl>
    <w:lvl w:ilvl="8" w:tplc="50842F7C">
      <w:start w:val="1"/>
      <w:numFmt w:val="lowerRoman"/>
      <w:lvlText w:val="%9."/>
      <w:lvlJc w:val="right"/>
      <w:pPr>
        <w:ind w:left="6480" w:hanging="180"/>
      </w:pPr>
    </w:lvl>
  </w:abstractNum>
  <w:abstractNum w:abstractNumId="8"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C62B5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68AF58F2"/>
    <w:multiLevelType w:val="hybridMultilevel"/>
    <w:tmpl w:val="FFFFFFFF"/>
    <w:lvl w:ilvl="0" w:tplc="FFFFFFFF">
      <w:start w:val="1"/>
      <w:numFmt w:val="decimal"/>
      <w:lvlText w:val="[%1]"/>
      <w:lvlJc w:val="left"/>
      <w:pPr>
        <w:ind w:left="360" w:hanging="360"/>
      </w:pPr>
    </w:lvl>
    <w:lvl w:ilvl="1" w:tplc="243C878A">
      <w:start w:val="1"/>
      <w:numFmt w:val="lowerLetter"/>
      <w:lvlText w:val="%2."/>
      <w:lvlJc w:val="left"/>
      <w:pPr>
        <w:ind w:left="1080" w:hanging="360"/>
      </w:pPr>
    </w:lvl>
    <w:lvl w:ilvl="2" w:tplc="5D62FF68">
      <w:start w:val="1"/>
      <w:numFmt w:val="lowerRoman"/>
      <w:lvlText w:val="%3."/>
      <w:lvlJc w:val="right"/>
      <w:pPr>
        <w:ind w:left="1800" w:hanging="180"/>
      </w:pPr>
    </w:lvl>
    <w:lvl w:ilvl="3" w:tplc="0780048C">
      <w:start w:val="1"/>
      <w:numFmt w:val="decimal"/>
      <w:lvlText w:val="%4."/>
      <w:lvlJc w:val="left"/>
      <w:pPr>
        <w:ind w:left="2520" w:hanging="360"/>
      </w:pPr>
    </w:lvl>
    <w:lvl w:ilvl="4" w:tplc="D0F27B8C">
      <w:start w:val="1"/>
      <w:numFmt w:val="lowerLetter"/>
      <w:lvlText w:val="%5."/>
      <w:lvlJc w:val="left"/>
      <w:pPr>
        <w:ind w:left="3240" w:hanging="360"/>
      </w:pPr>
    </w:lvl>
    <w:lvl w:ilvl="5" w:tplc="0C7A03A6">
      <w:start w:val="1"/>
      <w:numFmt w:val="lowerRoman"/>
      <w:lvlText w:val="%6."/>
      <w:lvlJc w:val="right"/>
      <w:pPr>
        <w:ind w:left="3960" w:hanging="180"/>
      </w:pPr>
    </w:lvl>
    <w:lvl w:ilvl="6" w:tplc="3DD473FC">
      <w:start w:val="1"/>
      <w:numFmt w:val="decimal"/>
      <w:lvlText w:val="%7."/>
      <w:lvlJc w:val="left"/>
      <w:pPr>
        <w:ind w:left="4680" w:hanging="360"/>
      </w:pPr>
    </w:lvl>
    <w:lvl w:ilvl="7" w:tplc="FC06FFE0">
      <w:start w:val="1"/>
      <w:numFmt w:val="lowerLetter"/>
      <w:lvlText w:val="%8."/>
      <w:lvlJc w:val="left"/>
      <w:pPr>
        <w:ind w:left="5400" w:hanging="360"/>
      </w:pPr>
    </w:lvl>
    <w:lvl w:ilvl="8" w:tplc="D9EE3B8A">
      <w:start w:val="1"/>
      <w:numFmt w:val="lowerRoman"/>
      <w:lvlText w:val="%9."/>
      <w:lvlJc w:val="right"/>
      <w:pPr>
        <w:ind w:left="612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DE030C"/>
    <w:multiLevelType w:val="hybridMultilevel"/>
    <w:tmpl w:val="503EEA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1"/>
  </w:num>
  <w:num w:numId="3">
    <w:abstractNumId w:val="6"/>
  </w:num>
  <w:num w:numId="4">
    <w:abstractNumId w:val="23"/>
  </w:num>
  <w:num w:numId="5">
    <w:abstractNumId w:val="4"/>
  </w:num>
  <w:num w:numId="6">
    <w:abstractNumId w:val="2"/>
  </w:num>
  <w:num w:numId="7">
    <w:abstractNumId w:val="21"/>
  </w:num>
  <w:num w:numId="8">
    <w:abstractNumId w:val="14"/>
  </w:num>
  <w:num w:numId="9">
    <w:abstractNumId w:val="19"/>
  </w:num>
  <w:num w:numId="10">
    <w:abstractNumId w:val="5"/>
  </w:num>
  <w:num w:numId="11">
    <w:abstractNumId w:val="12"/>
  </w:num>
  <w:num w:numId="12">
    <w:abstractNumId w:val="24"/>
  </w:num>
  <w:num w:numId="13">
    <w:abstractNumId w:val="9"/>
  </w:num>
  <w:num w:numId="14">
    <w:abstractNumId w:val="8"/>
  </w:num>
  <w:num w:numId="15">
    <w:abstractNumId w:val="3"/>
  </w:num>
  <w:num w:numId="16">
    <w:abstractNumId w:val="16"/>
  </w:num>
  <w:num w:numId="17">
    <w:abstractNumId w:val="20"/>
  </w:num>
  <w:num w:numId="18">
    <w:abstractNumId w:val="22"/>
  </w:num>
  <w:num w:numId="19">
    <w:abstractNumId w:val="10"/>
  </w:num>
  <w:num w:numId="20">
    <w:abstractNumId w:val="15"/>
  </w:num>
  <w:num w:numId="21">
    <w:abstractNumId w:val="18"/>
  </w:num>
  <w:num w:numId="22">
    <w:abstractNumId w:val="17"/>
  </w:num>
  <w:num w:numId="23">
    <w:abstractNumId w:val="13"/>
  </w:num>
  <w:num w:numId="24">
    <w:abstractNumId w:val="1"/>
  </w:num>
  <w:num w:numId="25">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08B5A"/>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739"/>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3"/>
    <w:rsid w:val="000864E9"/>
    <w:rsid w:val="0008772F"/>
    <w:rsid w:val="000901B3"/>
    <w:rsid w:val="0009083B"/>
    <w:rsid w:val="00091EF7"/>
    <w:rsid w:val="000933C8"/>
    <w:rsid w:val="00093E30"/>
    <w:rsid w:val="0009501F"/>
    <w:rsid w:val="00095A55"/>
    <w:rsid w:val="0009681B"/>
    <w:rsid w:val="00096BF8"/>
    <w:rsid w:val="00096F7C"/>
    <w:rsid w:val="000A2F61"/>
    <w:rsid w:val="000A6F38"/>
    <w:rsid w:val="000B1157"/>
    <w:rsid w:val="000B2A96"/>
    <w:rsid w:val="000B2FC0"/>
    <w:rsid w:val="000B326F"/>
    <w:rsid w:val="000B391E"/>
    <w:rsid w:val="000B4E46"/>
    <w:rsid w:val="000B5BE0"/>
    <w:rsid w:val="000B6124"/>
    <w:rsid w:val="000C0023"/>
    <w:rsid w:val="000C1AA6"/>
    <w:rsid w:val="000C25B8"/>
    <w:rsid w:val="000C2EA1"/>
    <w:rsid w:val="000C3C80"/>
    <w:rsid w:val="000C3E78"/>
    <w:rsid w:val="000C714B"/>
    <w:rsid w:val="000D09DE"/>
    <w:rsid w:val="000D2475"/>
    <w:rsid w:val="000D2901"/>
    <w:rsid w:val="000D3F6B"/>
    <w:rsid w:val="000D5177"/>
    <w:rsid w:val="000D6235"/>
    <w:rsid w:val="000E0832"/>
    <w:rsid w:val="000E1DC7"/>
    <w:rsid w:val="000E224A"/>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6BA5"/>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4BC7"/>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4FAF"/>
    <w:rsid w:val="00156520"/>
    <w:rsid w:val="00156D9B"/>
    <w:rsid w:val="00157957"/>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8B798"/>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1D46"/>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E6F98"/>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6C15"/>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5D45"/>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E7B0B"/>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0964"/>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2B95"/>
    <w:rsid w:val="003570F2"/>
    <w:rsid w:val="0035775F"/>
    <w:rsid w:val="00360266"/>
    <w:rsid w:val="003605A9"/>
    <w:rsid w:val="003605C4"/>
    <w:rsid w:val="003606C5"/>
    <w:rsid w:val="00360992"/>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40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59F"/>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454"/>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1FC"/>
    <w:rsid w:val="00475E66"/>
    <w:rsid w:val="004818A4"/>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538"/>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408"/>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26CC"/>
    <w:rsid w:val="00663584"/>
    <w:rsid w:val="00663E96"/>
    <w:rsid w:val="0066498B"/>
    <w:rsid w:val="00664DC6"/>
    <w:rsid w:val="00666E07"/>
    <w:rsid w:val="00667A66"/>
    <w:rsid w:val="00667AD0"/>
    <w:rsid w:val="00670D2A"/>
    <w:rsid w:val="00671121"/>
    <w:rsid w:val="0067166F"/>
    <w:rsid w:val="00671B57"/>
    <w:rsid w:val="00672500"/>
    <w:rsid w:val="0067324F"/>
    <w:rsid w:val="00674063"/>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A88"/>
    <w:rsid w:val="006A0FF3"/>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82E"/>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16D1"/>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E787E"/>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257E"/>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38B"/>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B675C"/>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1DE4"/>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5CA"/>
    <w:rsid w:val="009426CA"/>
    <w:rsid w:val="009436DB"/>
    <w:rsid w:val="00943715"/>
    <w:rsid w:val="00943DC1"/>
    <w:rsid w:val="00944B2C"/>
    <w:rsid w:val="00944BB1"/>
    <w:rsid w:val="0094577B"/>
    <w:rsid w:val="009467E0"/>
    <w:rsid w:val="00946B2F"/>
    <w:rsid w:val="00947FA3"/>
    <w:rsid w:val="0095157D"/>
    <w:rsid w:val="009529F2"/>
    <w:rsid w:val="00953B74"/>
    <w:rsid w:val="00954C4B"/>
    <w:rsid w:val="00955D91"/>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A6778"/>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0C3"/>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B10"/>
    <w:rsid w:val="00A76D22"/>
    <w:rsid w:val="00A7704C"/>
    <w:rsid w:val="00A7756B"/>
    <w:rsid w:val="00A7779A"/>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67A8"/>
    <w:rsid w:val="00A97296"/>
    <w:rsid w:val="00A975CB"/>
    <w:rsid w:val="00A9787A"/>
    <w:rsid w:val="00A97ABC"/>
    <w:rsid w:val="00A97C8F"/>
    <w:rsid w:val="00A97ECC"/>
    <w:rsid w:val="00AA32D2"/>
    <w:rsid w:val="00AA36DE"/>
    <w:rsid w:val="00AA43A8"/>
    <w:rsid w:val="00AA4B69"/>
    <w:rsid w:val="00AA78EC"/>
    <w:rsid w:val="00AB1D80"/>
    <w:rsid w:val="00AB30D7"/>
    <w:rsid w:val="00AB3BBD"/>
    <w:rsid w:val="00AB3FFA"/>
    <w:rsid w:val="00AB4215"/>
    <w:rsid w:val="00AB5917"/>
    <w:rsid w:val="00AB5F6C"/>
    <w:rsid w:val="00AB61A7"/>
    <w:rsid w:val="00AB7694"/>
    <w:rsid w:val="00AC0C51"/>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36EC"/>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2964"/>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6DD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30C"/>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705"/>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67A5C"/>
    <w:rsid w:val="00C70785"/>
    <w:rsid w:val="00C70C5C"/>
    <w:rsid w:val="00C71294"/>
    <w:rsid w:val="00C7145D"/>
    <w:rsid w:val="00C725BD"/>
    <w:rsid w:val="00C733D9"/>
    <w:rsid w:val="00C73431"/>
    <w:rsid w:val="00C735A1"/>
    <w:rsid w:val="00C73694"/>
    <w:rsid w:val="00C763E6"/>
    <w:rsid w:val="00C77F42"/>
    <w:rsid w:val="00C77F4D"/>
    <w:rsid w:val="00C80B84"/>
    <w:rsid w:val="00C81BD7"/>
    <w:rsid w:val="00C82381"/>
    <w:rsid w:val="00C835D1"/>
    <w:rsid w:val="00C83646"/>
    <w:rsid w:val="00C84365"/>
    <w:rsid w:val="00C867C5"/>
    <w:rsid w:val="00C86A01"/>
    <w:rsid w:val="00C86C2A"/>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1B6"/>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AEC"/>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B7EFB"/>
    <w:rsid w:val="00DC2374"/>
    <w:rsid w:val="00DC2DAB"/>
    <w:rsid w:val="00DC2E14"/>
    <w:rsid w:val="00DC33DF"/>
    <w:rsid w:val="00DC4095"/>
    <w:rsid w:val="00DC4176"/>
    <w:rsid w:val="00DC55C2"/>
    <w:rsid w:val="00DC5BAB"/>
    <w:rsid w:val="00DC68C0"/>
    <w:rsid w:val="00DC6DC6"/>
    <w:rsid w:val="00DC7CF7"/>
    <w:rsid w:val="00DD249C"/>
    <w:rsid w:val="00DD3E26"/>
    <w:rsid w:val="00DD53B0"/>
    <w:rsid w:val="00DD592E"/>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474A"/>
    <w:rsid w:val="00E0546E"/>
    <w:rsid w:val="00E0686F"/>
    <w:rsid w:val="00E06D47"/>
    <w:rsid w:val="00E078A6"/>
    <w:rsid w:val="00E1060B"/>
    <w:rsid w:val="00E113DE"/>
    <w:rsid w:val="00E116BE"/>
    <w:rsid w:val="00E12A28"/>
    <w:rsid w:val="00E13409"/>
    <w:rsid w:val="00E13456"/>
    <w:rsid w:val="00E14144"/>
    <w:rsid w:val="00E1717E"/>
    <w:rsid w:val="00E211B8"/>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86E"/>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65A4"/>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4F70"/>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03F58D"/>
    <w:rsid w:val="012360B6"/>
    <w:rsid w:val="0148EC7C"/>
    <w:rsid w:val="01A5B91B"/>
    <w:rsid w:val="02F29DB5"/>
    <w:rsid w:val="032B640C"/>
    <w:rsid w:val="046C1D7A"/>
    <w:rsid w:val="052E6240"/>
    <w:rsid w:val="054D78D2"/>
    <w:rsid w:val="05C65BD5"/>
    <w:rsid w:val="07274FB6"/>
    <w:rsid w:val="07A9B5B0"/>
    <w:rsid w:val="08A9F7BA"/>
    <w:rsid w:val="08DA1D65"/>
    <w:rsid w:val="0A5E5900"/>
    <w:rsid w:val="0B55035A"/>
    <w:rsid w:val="0C5C2D99"/>
    <w:rsid w:val="0CF6A328"/>
    <w:rsid w:val="0D48E377"/>
    <w:rsid w:val="0D610FB5"/>
    <w:rsid w:val="0E5BA984"/>
    <w:rsid w:val="0E794B2C"/>
    <w:rsid w:val="0EC8A149"/>
    <w:rsid w:val="0F0FDBD9"/>
    <w:rsid w:val="0F22BA5B"/>
    <w:rsid w:val="103AF5D2"/>
    <w:rsid w:val="10532210"/>
    <w:rsid w:val="106B1B7D"/>
    <w:rsid w:val="106C3C7C"/>
    <w:rsid w:val="11BB8E0A"/>
    <w:rsid w:val="11F01370"/>
    <w:rsid w:val="123643E7"/>
    <w:rsid w:val="1286C127"/>
    <w:rsid w:val="131836E9"/>
    <w:rsid w:val="1345346B"/>
    <w:rsid w:val="1353F046"/>
    <w:rsid w:val="141BA11C"/>
    <w:rsid w:val="14D4975A"/>
    <w:rsid w:val="16227582"/>
    <w:rsid w:val="17334939"/>
    <w:rsid w:val="188A0287"/>
    <w:rsid w:val="18AA7627"/>
    <w:rsid w:val="18E78A5B"/>
    <w:rsid w:val="1B033005"/>
    <w:rsid w:val="1BE8AC7E"/>
    <w:rsid w:val="1C8B5021"/>
    <w:rsid w:val="1D61BCD2"/>
    <w:rsid w:val="1D834DEF"/>
    <w:rsid w:val="1E5F5F09"/>
    <w:rsid w:val="1E86B822"/>
    <w:rsid w:val="1F0F59FD"/>
    <w:rsid w:val="20AC9F90"/>
    <w:rsid w:val="210FF282"/>
    <w:rsid w:val="21559D34"/>
    <w:rsid w:val="21A91281"/>
    <w:rsid w:val="21C3A442"/>
    <w:rsid w:val="21CDB25D"/>
    <w:rsid w:val="22B46BC6"/>
    <w:rsid w:val="22C12B9F"/>
    <w:rsid w:val="2504EED0"/>
    <w:rsid w:val="2575E1F5"/>
    <w:rsid w:val="25DE2BB0"/>
    <w:rsid w:val="25FB2302"/>
    <w:rsid w:val="262FE278"/>
    <w:rsid w:val="2631D495"/>
    <w:rsid w:val="267E45B7"/>
    <w:rsid w:val="271A6BE2"/>
    <w:rsid w:val="273B5E16"/>
    <w:rsid w:val="27481DEF"/>
    <w:rsid w:val="27949CC2"/>
    <w:rsid w:val="28E485C8"/>
    <w:rsid w:val="29065FC2"/>
    <w:rsid w:val="2921F4D3"/>
    <w:rsid w:val="296041EF"/>
    <w:rsid w:val="2996FCD5"/>
    <w:rsid w:val="2AFBCBB7"/>
    <w:rsid w:val="2B28C939"/>
    <w:rsid w:val="2B3D9A7D"/>
    <w:rsid w:val="2B4FD26E"/>
    <w:rsid w:val="2CA8A1C0"/>
    <w:rsid w:val="2CC5BA99"/>
    <w:rsid w:val="2D47DDA5"/>
    <w:rsid w:val="2DA89E2A"/>
    <w:rsid w:val="2DD56922"/>
    <w:rsid w:val="2E1ADB94"/>
    <w:rsid w:val="2E2B33AB"/>
    <w:rsid w:val="2E2FC3EF"/>
    <w:rsid w:val="2E6EE24B"/>
    <w:rsid w:val="2E86DBB8"/>
    <w:rsid w:val="2F6735D0"/>
    <w:rsid w:val="2F931182"/>
    <w:rsid w:val="3036813E"/>
    <w:rsid w:val="309AF97E"/>
    <w:rsid w:val="30B325BC"/>
    <w:rsid w:val="3114967D"/>
    <w:rsid w:val="31B5111B"/>
    <w:rsid w:val="32746B66"/>
    <w:rsid w:val="32A258A2"/>
    <w:rsid w:val="338C9412"/>
    <w:rsid w:val="338D0BD9"/>
    <w:rsid w:val="33A53817"/>
    <w:rsid w:val="33B71F29"/>
    <w:rsid w:val="33EA2F06"/>
    <w:rsid w:val="3483B633"/>
    <w:rsid w:val="34D03A75"/>
    <w:rsid w:val="35D8D72E"/>
    <w:rsid w:val="36528D6E"/>
    <w:rsid w:val="374C8FF0"/>
    <w:rsid w:val="379AB4A5"/>
    <w:rsid w:val="37E0D6A0"/>
    <w:rsid w:val="3811DF7B"/>
    <w:rsid w:val="389E0C36"/>
    <w:rsid w:val="395C5F4B"/>
    <w:rsid w:val="39748B89"/>
    <w:rsid w:val="39895CCD"/>
    <w:rsid w:val="3AB1BD96"/>
    <w:rsid w:val="3B6333B1"/>
    <w:rsid w:val="3C4E71A6"/>
    <w:rsid w:val="3E17933A"/>
    <w:rsid w:val="3EA94CC3"/>
    <w:rsid w:val="3EE6BBCE"/>
    <w:rsid w:val="41599058"/>
    <w:rsid w:val="422CD4E0"/>
    <w:rsid w:val="426FF8CE"/>
    <w:rsid w:val="43212F4B"/>
    <w:rsid w:val="43253585"/>
    <w:rsid w:val="4366263A"/>
    <w:rsid w:val="43E4AF80"/>
    <w:rsid w:val="440E344A"/>
    <w:rsid w:val="45442C3C"/>
    <w:rsid w:val="457B0DF0"/>
    <w:rsid w:val="45CE4AB7"/>
    <w:rsid w:val="46249A65"/>
    <w:rsid w:val="46BCE3A6"/>
    <w:rsid w:val="46C4BA09"/>
    <w:rsid w:val="46D1B4EA"/>
    <w:rsid w:val="47A8219B"/>
    <w:rsid w:val="4813B96B"/>
    <w:rsid w:val="49448974"/>
    <w:rsid w:val="49C50BF3"/>
    <w:rsid w:val="4A487D2E"/>
    <w:rsid w:val="4B60DC54"/>
    <w:rsid w:val="4B980BC5"/>
    <w:rsid w:val="4BE29518"/>
    <w:rsid w:val="4E17C6FE"/>
    <w:rsid w:val="4EA7A9F1"/>
    <w:rsid w:val="4F7E4973"/>
    <w:rsid w:val="50282AD4"/>
    <w:rsid w:val="50578EE8"/>
    <w:rsid w:val="506AA030"/>
    <w:rsid w:val="516CF19B"/>
    <w:rsid w:val="51C0F852"/>
    <w:rsid w:val="526FF46E"/>
    <w:rsid w:val="529E185E"/>
    <w:rsid w:val="5346C87F"/>
    <w:rsid w:val="551D773A"/>
    <w:rsid w:val="56A38EFB"/>
    <w:rsid w:val="579BD3C1"/>
    <w:rsid w:val="57D5418B"/>
    <w:rsid w:val="583692CA"/>
    <w:rsid w:val="587C4A60"/>
    <w:rsid w:val="58D0C002"/>
    <w:rsid w:val="59021753"/>
    <w:rsid w:val="59AFA31E"/>
    <w:rsid w:val="59E96079"/>
    <w:rsid w:val="5A6312C6"/>
    <w:rsid w:val="5B5DD7C1"/>
    <w:rsid w:val="5B5EDD92"/>
    <w:rsid w:val="5CAE7552"/>
    <w:rsid w:val="5D027C09"/>
    <w:rsid w:val="5D82038E"/>
    <w:rsid w:val="5EB549B8"/>
    <w:rsid w:val="5F6C8397"/>
    <w:rsid w:val="5F8BB669"/>
    <w:rsid w:val="5FEF2595"/>
    <w:rsid w:val="6008A180"/>
    <w:rsid w:val="60E32753"/>
    <w:rsid w:val="61A75C13"/>
    <w:rsid w:val="625E79EB"/>
    <w:rsid w:val="62752870"/>
    <w:rsid w:val="63787BCA"/>
    <w:rsid w:val="63D539AE"/>
    <w:rsid w:val="641A309D"/>
    <w:rsid w:val="64579FA8"/>
    <w:rsid w:val="64DAC6DF"/>
    <w:rsid w:val="6558DE73"/>
    <w:rsid w:val="66734552"/>
    <w:rsid w:val="66B83C41"/>
    <w:rsid w:val="681A0D7F"/>
    <w:rsid w:val="692060BE"/>
    <w:rsid w:val="696557AD"/>
    <w:rsid w:val="69A48D20"/>
    <w:rsid w:val="6A23CAF1"/>
    <w:rsid w:val="6B3F2E91"/>
    <w:rsid w:val="6B434F2A"/>
    <w:rsid w:val="6BD0A453"/>
    <w:rsid w:val="6BF3ED0C"/>
    <w:rsid w:val="6C1624C9"/>
    <w:rsid w:val="6C741990"/>
    <w:rsid w:val="6CB08430"/>
    <w:rsid w:val="6CE8DFCA"/>
    <w:rsid w:val="6D4620D7"/>
    <w:rsid w:val="6D72CDA8"/>
    <w:rsid w:val="6DEC49FD"/>
    <w:rsid w:val="6E3E4CA9"/>
    <w:rsid w:val="6E6A23B6"/>
    <w:rsid w:val="6F24D10E"/>
    <w:rsid w:val="6F2F732A"/>
    <w:rsid w:val="6F34AB1F"/>
    <w:rsid w:val="6FC620E1"/>
    <w:rsid w:val="709256DC"/>
    <w:rsid w:val="70B190A9"/>
    <w:rsid w:val="71AAFBAA"/>
    <w:rsid w:val="721E391E"/>
    <w:rsid w:val="7220FBFE"/>
    <w:rsid w:val="727AC431"/>
    <w:rsid w:val="72D05F7A"/>
    <w:rsid w:val="72D70002"/>
    <w:rsid w:val="736DD299"/>
    <w:rsid w:val="73D93341"/>
    <w:rsid w:val="75C271D5"/>
    <w:rsid w:val="765BF902"/>
    <w:rsid w:val="7709EDF3"/>
    <w:rsid w:val="77412AE4"/>
    <w:rsid w:val="7811920E"/>
    <w:rsid w:val="78B8A338"/>
    <w:rsid w:val="78D56E65"/>
    <w:rsid w:val="7AC7C7AB"/>
    <w:rsid w:val="7B1310FD"/>
    <w:rsid w:val="7C64B9EB"/>
    <w:rsid w:val="7D624B3D"/>
    <w:rsid w:val="7E6FBF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88AD148C-EC13-4C14-858A-DA294B0C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6EC"/>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qFormat/>
    <w:rsid w:val="00FE7719"/>
    <w:rPr>
      <w:b/>
      <w:lang w:val="en-GB" w:eastAsia="en-US" w:bidi="ar-SA"/>
    </w:rPr>
  </w:style>
  <w:style w:type="paragraph" w:customStyle="1" w:styleId="myReference">
    <w:name w:val="myReference"/>
    <w:basedOn w:val="Normal"/>
    <w:next w:val="Normal"/>
    <w:autoRedefine/>
    <w:rsid w:val="00FE7719"/>
    <w:pPr>
      <w:keepNext/>
      <w:numPr>
        <w:numId w:val="2"/>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3"/>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6"/>
      </w:numPr>
      <w:tabs>
        <w:tab w:val="num" w:pos="926"/>
      </w:tabs>
      <w:ind w:left="926"/>
    </w:pPr>
    <w:rPr>
      <w:rFonts w:eastAsia="MS Mincho"/>
      <w:lang w:eastAsia="en-GB"/>
    </w:rPr>
  </w:style>
  <w:style w:type="paragraph" w:styleId="ListNumber4">
    <w:name w:val="List Number 4"/>
    <w:basedOn w:val="Normal"/>
    <w:rsid w:val="0099493B"/>
    <w:pPr>
      <w:numPr>
        <w:numId w:val="5"/>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7"/>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8"/>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9"/>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10"/>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1"/>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2"/>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3"/>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5AIRPNAIUNRU-1328258698-10029</_dlc_DocId>
    <_dlc_DocIdUrl xmlns="71c5aaf6-e6ce-465b-b873-5148d2a4c105">
      <Url>https://nokia.sharepoint.com/sites/c5g/5gradio/_layouts/15/DocIdRedir.aspx?ID=5AIRPNAIUNRU-1328258698-10029</Url>
      <Description>5AIRPNAIUNRU-1328258698-10029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2.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3.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1054</Words>
  <Characters>6008</Characters>
  <Application>Microsoft Office Word</Application>
  <DocSecurity>0</DocSecurity>
  <Lines>50</Lines>
  <Paragraphs>14</Paragraphs>
  <ScaleCrop>false</ScaleCrop>
  <Company>ETSI-MCC</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Toni</cp:lastModifiedBy>
  <cp:revision>6</cp:revision>
  <cp:lastPrinted>2013-03-23T00:57:00Z</cp:lastPrinted>
  <dcterms:created xsi:type="dcterms:W3CDTF">2022-02-11T13:53:00Z</dcterms:created>
  <dcterms:modified xsi:type="dcterms:W3CDTF">2022-02-14T21:39:00Z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13b968eb-e429-4037-8481-c444638214be</vt:lpwstr>
  </property>
</Properties>
</file>